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35" w:rsidRDefault="003B2D29">
      <w:pPr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Приложение № </w:t>
      </w:r>
      <w:r>
        <w:rPr>
          <w:rFonts w:cs="Times New Roman"/>
          <w:sz w:val="22"/>
        </w:rPr>
        <w:t>9</w:t>
      </w:r>
      <w:r>
        <w:rPr>
          <w:rFonts w:cs="Times New Roman"/>
          <w:sz w:val="22"/>
          <w:highlight w:val="yellow"/>
        </w:rPr>
        <w:t xml:space="preserve"> </w:t>
      </w:r>
    </w:p>
    <w:p w:rsidR="00C43635" w:rsidRDefault="003B2D29">
      <w:pPr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к протоколу № 2 заседания рабочей группы при Губернаторе</w:t>
      </w:r>
    </w:p>
    <w:p w:rsidR="00C43635" w:rsidRDefault="003B2D29">
      <w:pPr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 xml:space="preserve">Ханты-Мансийского автономного округа – Югры </w:t>
      </w:r>
    </w:p>
    <w:p w:rsidR="00C43635" w:rsidRDefault="003B2D29">
      <w:pPr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по делам казачества от 13 декабря  2023 года</w:t>
      </w:r>
    </w:p>
    <w:p w:rsidR="00C43635" w:rsidRDefault="00C43635">
      <w:pPr>
        <w:jc w:val="right"/>
        <w:rPr>
          <w:rFonts w:cs="Times New Roman"/>
          <w:sz w:val="16"/>
          <w:szCs w:val="16"/>
        </w:rPr>
      </w:pPr>
    </w:p>
    <w:p w:rsidR="00C43635" w:rsidRDefault="00C43635">
      <w:pPr>
        <w:jc w:val="center"/>
        <w:rPr>
          <w:rFonts w:cs="Times New Roman"/>
          <w:b/>
          <w:szCs w:val="28"/>
        </w:rPr>
      </w:pPr>
    </w:p>
    <w:p w:rsidR="00C43635" w:rsidRDefault="003B2D29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План заседаний рабочей группы при Губернаторе</w:t>
      </w:r>
    </w:p>
    <w:p w:rsidR="00C43635" w:rsidRDefault="003B2D29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Ханты-Мансийс</w:t>
      </w:r>
      <w:r>
        <w:rPr>
          <w:rFonts w:cs="Times New Roman"/>
          <w:b/>
          <w:szCs w:val="28"/>
        </w:rPr>
        <w:t>кого автономного округа – Югры по делам казачества на 2024 год</w:t>
      </w:r>
    </w:p>
    <w:p w:rsidR="00C43635" w:rsidRDefault="00C43635">
      <w:pPr>
        <w:jc w:val="center"/>
        <w:rPr>
          <w:rFonts w:cs="Times New Roman"/>
          <w:sz w:val="24"/>
          <w:szCs w:val="24"/>
        </w:rPr>
      </w:pPr>
    </w:p>
    <w:tbl>
      <w:tblPr>
        <w:tblStyle w:val="af6"/>
        <w:tblW w:w="144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9"/>
        <w:gridCol w:w="4252"/>
        <w:gridCol w:w="4111"/>
        <w:gridCol w:w="1559"/>
        <w:gridCol w:w="3969"/>
      </w:tblGrid>
      <w:tr w:rsidR="00C4363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3635" w:rsidRDefault="003B2D2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3635" w:rsidRDefault="003B2D2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Содержание вопроса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3635" w:rsidRDefault="003B2D2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Ответст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венные за подготовку</w:t>
            </w:r>
          </w:p>
          <w:p w:rsidR="00C43635" w:rsidRDefault="003B2D2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вопроса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3635" w:rsidRDefault="003B2D2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Срок заседания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3635" w:rsidRDefault="003B2D2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Инициатор рассмотрения вопроса</w:t>
            </w:r>
          </w:p>
        </w:tc>
      </w:tr>
      <w:tr w:rsidR="00C4363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635" w:rsidRDefault="003B2D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635" w:rsidRDefault="003B2D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635" w:rsidRDefault="003B2D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635" w:rsidRDefault="003B2D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635" w:rsidRDefault="003B2D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</w:tr>
      <w:tr w:rsidR="00C4363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635" w:rsidRDefault="003B2D29">
            <w:pPr>
              <w:pStyle w:val="af5"/>
              <w:ind w:left="0"/>
              <w:contextualSpacing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635" w:rsidRDefault="003B2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помощи участникам специальной военной операции, семьям членов казачьих обществ и иных объединений казаков, тяжело раненных или погибших в ходе проведения специальной военной операции </w:t>
            </w:r>
          </w:p>
          <w:p w:rsidR="00C43635" w:rsidRDefault="00C43635"/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635" w:rsidRDefault="003B2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социального развития Ханты-Мансийского автономного</w:t>
            </w:r>
            <w:r>
              <w:rPr>
                <w:sz w:val="24"/>
                <w:szCs w:val="24"/>
              </w:rPr>
              <w:t xml:space="preserve"> округа – Югры </w:t>
            </w:r>
          </w:p>
          <w:p w:rsidR="00C43635" w:rsidRDefault="00C43635">
            <w:pPr>
              <w:rPr>
                <w:sz w:val="24"/>
                <w:szCs w:val="24"/>
              </w:rPr>
            </w:pPr>
          </w:p>
          <w:p w:rsidR="00C43635" w:rsidRDefault="003B2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Некоммерческая организация </w:t>
            </w:r>
            <w:proofErr w:type="gramStart"/>
            <w:r>
              <w:rPr>
                <w:sz w:val="24"/>
                <w:szCs w:val="24"/>
              </w:rPr>
              <w:t>Обь-Иртышское</w:t>
            </w:r>
            <w:proofErr w:type="gramEnd"/>
            <w:r>
              <w:rPr>
                <w:sz w:val="24"/>
                <w:szCs w:val="24"/>
              </w:rPr>
              <w:t xml:space="preserve"> отдельское казачье общество Сибирского войскового казачьего общества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635" w:rsidRDefault="003B2D2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полугодие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635" w:rsidRDefault="003B2D2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Департамент молодежной политики, гражданских инициатив и внешних связей Ханты-Мансийского автономного округа – Югры</w:t>
            </w:r>
          </w:p>
        </w:tc>
      </w:tr>
      <w:tr w:rsidR="00C43635">
        <w:trPr>
          <w:trHeight w:val="276"/>
        </w:trPr>
        <w:tc>
          <w:tcPr>
            <w:tcW w:w="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635" w:rsidRDefault="003B2D29">
            <w:pPr>
              <w:pStyle w:val="af5"/>
              <w:ind w:left="0"/>
              <w:contextualSpacing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635" w:rsidRDefault="003B2D29">
            <w:r>
              <w:rPr>
                <w:sz w:val="24"/>
                <w:szCs w:val="24"/>
              </w:rPr>
              <w:t>О взаимодействии органов местного самоуправления муниципальных образований Ханты-Мансийского автономного округа – Югры с  казачьими обществами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635" w:rsidRDefault="003B2D29">
            <w:r>
              <w:rPr>
                <w:rFonts w:cs="Times New Roman"/>
                <w:sz w:val="24"/>
                <w:szCs w:val="24"/>
              </w:rPr>
              <w:t xml:space="preserve">Некоммерческая организация </w:t>
            </w:r>
          </w:p>
          <w:p w:rsidR="00C43635" w:rsidRDefault="003B2D29">
            <w:pPr>
              <w:pStyle w:val="af4"/>
              <w:spacing w:before="0" w:beforeAutospacing="0" w:after="0" w:afterAutospacing="0"/>
            </w:pPr>
            <w:proofErr w:type="gramStart"/>
            <w:r>
              <w:t>Обь-Иртышское</w:t>
            </w:r>
            <w:proofErr w:type="gramEnd"/>
            <w:r>
              <w:t xml:space="preserve"> отдельское казачье общество Сибирского войскового казачьего общества</w:t>
            </w:r>
            <w:r>
              <w:t>;</w:t>
            </w:r>
          </w:p>
          <w:p w:rsidR="00C43635" w:rsidRDefault="00C43635">
            <w:pPr>
              <w:pStyle w:val="af4"/>
              <w:spacing w:before="0" w:beforeAutospacing="0" w:after="0" w:afterAutospacing="0"/>
            </w:pPr>
          </w:p>
          <w:p w:rsidR="00C43635" w:rsidRDefault="003B2D29">
            <w:pPr>
              <w:pStyle w:val="af4"/>
              <w:spacing w:before="0" w:beforeAutospacing="0" w:after="0" w:afterAutospacing="0"/>
            </w:pPr>
            <w:r>
              <w:t>Атаманы казачьих обществ</w:t>
            </w:r>
          </w:p>
          <w:p w:rsidR="00C43635" w:rsidRDefault="00C43635">
            <w:pPr>
              <w:pStyle w:val="af4"/>
              <w:spacing w:before="0" w:beforeAutospacing="0" w:after="0" w:afterAutospacing="0"/>
            </w:pPr>
          </w:p>
          <w:p w:rsidR="00C43635" w:rsidRDefault="00C43635">
            <w:pPr>
              <w:pStyle w:val="af4"/>
              <w:spacing w:before="0" w:beforeAutospacing="0" w:after="0" w:afterAutospacing="0"/>
            </w:pPr>
          </w:p>
          <w:p w:rsidR="00C43635" w:rsidRDefault="003B2D29">
            <w:pPr>
              <w:pStyle w:val="af4"/>
              <w:spacing w:before="0" w:beforeAutospacing="0" w:after="0" w:afterAutospacing="0"/>
              <w:rPr>
                <w:sz w:val="16"/>
                <w:szCs w:val="16"/>
              </w:rPr>
            </w:pPr>
            <w:r>
              <w:t xml:space="preserve">Представители муниципальных образований Ханты-Мансийского автономного округа – Югры </w:t>
            </w:r>
            <w:r>
              <w:br/>
            </w:r>
            <w:r>
              <w:rPr>
                <w:rStyle w:val="af9"/>
                <w:b w:val="0"/>
              </w:rPr>
              <w:t>(по согласованию)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635" w:rsidRDefault="003B2D2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1 полугодие 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635" w:rsidRDefault="003B2D29">
            <w:r>
              <w:rPr>
                <w:rFonts w:cs="Times New Roman"/>
                <w:sz w:val="24"/>
                <w:szCs w:val="24"/>
              </w:rPr>
              <w:t>Департамент молодежной политики, гражданских инициатив и внешних связей Ханты-Мансийского автономного округа –</w:t>
            </w:r>
            <w:r>
              <w:rPr>
                <w:rFonts w:cs="Times New Roman"/>
                <w:sz w:val="24"/>
                <w:szCs w:val="24"/>
              </w:rPr>
              <w:t xml:space="preserve"> Югры</w:t>
            </w:r>
          </w:p>
          <w:p w:rsidR="00C43635" w:rsidRDefault="00C43635">
            <w:pPr>
              <w:rPr>
                <w:rFonts w:cs="Times New Roman"/>
              </w:rPr>
            </w:pPr>
          </w:p>
        </w:tc>
      </w:tr>
      <w:tr w:rsidR="00C43635">
        <w:trPr>
          <w:trHeight w:val="276"/>
        </w:trPr>
        <w:tc>
          <w:tcPr>
            <w:tcW w:w="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635" w:rsidRDefault="003B2D29">
            <w:pPr>
              <w:pStyle w:val="af5"/>
              <w:ind w:left="0"/>
              <w:contextualSpacing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635" w:rsidRDefault="003B2D2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О выполнении плана мероприятий по реализации в 2024 году Стратегии развития государственной политики Российской Федерации в отношении российского казачества до 2030 года 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635" w:rsidRDefault="003B2D29">
            <w:r>
              <w:rPr>
                <w:rFonts w:cs="Times New Roman"/>
                <w:sz w:val="24"/>
                <w:szCs w:val="24"/>
              </w:rPr>
              <w:t>Департамент молодежной политики, гражданских инициатив и внешних связей Ханты-Мансийского автономного округа – Югры</w:t>
            </w:r>
          </w:p>
          <w:p w:rsidR="00C43635" w:rsidRDefault="00C43635"/>
          <w:p w:rsidR="00C43635" w:rsidRDefault="003B2D29">
            <w:r>
              <w:rPr>
                <w:rFonts w:cs="Times New Roman"/>
                <w:sz w:val="24"/>
                <w:szCs w:val="24"/>
              </w:rPr>
              <w:lastRenderedPageBreak/>
              <w:t xml:space="preserve">Департамент культуры </w:t>
            </w:r>
            <w:r>
              <w:rPr>
                <w:rFonts w:cs="Times New Roman"/>
                <w:sz w:val="24"/>
                <w:szCs w:val="24"/>
              </w:rPr>
              <w:br/>
              <w:t>Ханты-Мансийского автономного округа – Югры;</w:t>
            </w:r>
          </w:p>
          <w:p w:rsidR="00C43635" w:rsidRDefault="00C43635"/>
          <w:p w:rsidR="00C43635" w:rsidRDefault="003B2D2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Департамент образования и науки </w:t>
            </w:r>
            <w:r>
              <w:rPr>
                <w:rFonts w:cs="Times New Roman"/>
                <w:sz w:val="24"/>
                <w:szCs w:val="24"/>
              </w:rPr>
              <w:br/>
              <w:t>Ханты-Мансийского автономного округа –</w:t>
            </w:r>
            <w:r>
              <w:rPr>
                <w:rFonts w:cs="Times New Roman"/>
                <w:sz w:val="24"/>
                <w:szCs w:val="24"/>
              </w:rPr>
              <w:t xml:space="preserve"> Югры</w:t>
            </w:r>
          </w:p>
          <w:p w:rsidR="00C43635" w:rsidRDefault="00C43635">
            <w:pPr>
              <w:rPr>
                <w:rFonts w:cs="Times New Roman"/>
                <w:sz w:val="16"/>
                <w:szCs w:val="16"/>
              </w:rPr>
            </w:pPr>
          </w:p>
          <w:p w:rsidR="00C43635" w:rsidRDefault="003B2D2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Департамент региональной безопасности Ханты-Мансийского автономного округа – Югры</w:t>
            </w:r>
          </w:p>
          <w:p w:rsidR="00C43635" w:rsidRDefault="00C43635">
            <w:pPr>
              <w:rPr>
                <w:rFonts w:cs="Times New Roman"/>
                <w:sz w:val="16"/>
                <w:szCs w:val="16"/>
              </w:rPr>
            </w:pPr>
          </w:p>
          <w:p w:rsidR="00C43635" w:rsidRDefault="003B2D2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Служба по контролю и надзору в сфере охраны окружающей среды, объектов животного мира и лесных отношений Ханты-Мансийского автономного округа - Югры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635" w:rsidRDefault="003B2D2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2 полугодие 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635" w:rsidRDefault="003B2D29">
            <w:r>
              <w:rPr>
                <w:rFonts w:cs="Times New Roman"/>
                <w:sz w:val="24"/>
                <w:szCs w:val="24"/>
              </w:rPr>
              <w:t>Депа</w:t>
            </w:r>
            <w:r>
              <w:rPr>
                <w:rFonts w:cs="Times New Roman"/>
                <w:sz w:val="24"/>
                <w:szCs w:val="24"/>
              </w:rPr>
              <w:t>ртамент молодежной политики, гражданских инициатив и внешних связей Ханты-Мансийского автономного округа – Югры</w:t>
            </w:r>
          </w:p>
        </w:tc>
      </w:tr>
      <w:tr w:rsidR="00C4363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635" w:rsidRDefault="003B2D29">
            <w:pPr>
              <w:pStyle w:val="af5"/>
              <w:ind w:left="0"/>
              <w:contextualSpacing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635" w:rsidRDefault="003B2D29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24"/>
                <w:szCs w:val="28"/>
              </w:rPr>
              <w:t>Об утверждении плана заседаний рабочей группы при Губернаторе Ханты-Мансийского автономного округа – Югры по делам казачества на 2025 год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635" w:rsidRDefault="003B2D29">
            <w:r>
              <w:rPr>
                <w:rFonts w:cs="Times New Roman"/>
                <w:sz w:val="24"/>
                <w:szCs w:val="24"/>
              </w:rPr>
              <w:t>Департамент молодежной политики, гражданских инициатив и внешних связей Ханты-Мансийского автономного округа – Югры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635" w:rsidRDefault="003B2D2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полугодие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635" w:rsidRDefault="003B2D29">
            <w:r>
              <w:rPr>
                <w:rFonts w:cs="Times New Roman"/>
                <w:sz w:val="24"/>
                <w:szCs w:val="24"/>
              </w:rPr>
              <w:t>Департамент молодежной политики, гражданских инициатив и внешних связей Ханты-Мансийского автономного округа – Югры</w:t>
            </w:r>
          </w:p>
        </w:tc>
      </w:tr>
      <w:tr w:rsidR="00C43635">
        <w:trPr>
          <w:trHeight w:val="1342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635" w:rsidRDefault="003B2D29">
            <w:pPr>
              <w:pStyle w:val="af5"/>
              <w:ind w:left="0"/>
              <w:contextualSpacing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635" w:rsidRDefault="003B2D2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 испо</w:t>
            </w:r>
            <w:r>
              <w:rPr>
                <w:rFonts w:cs="Times New Roman"/>
                <w:sz w:val="24"/>
                <w:szCs w:val="24"/>
              </w:rPr>
              <w:t>лнении протокольных решений, принятых рабочей группой при Губернаторе Ханты-Мансийского автономного округа – Югры по делам казачества</w:t>
            </w:r>
          </w:p>
          <w:p w:rsidR="00C43635" w:rsidRDefault="00C4363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635" w:rsidRDefault="003B2D29">
            <w:r>
              <w:rPr>
                <w:rFonts w:cs="Times New Roman"/>
                <w:sz w:val="24"/>
                <w:szCs w:val="24"/>
              </w:rPr>
              <w:t>Департамент молодежной политики, гражданских инициатив и внешних связей Ханты-Мансийского автономного округа – Югры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635" w:rsidRDefault="003B2D2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1, 2 </w:t>
            </w:r>
            <w:r>
              <w:rPr>
                <w:rFonts w:cs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635" w:rsidRDefault="003B2D29">
            <w:r>
              <w:rPr>
                <w:rFonts w:cs="Times New Roman"/>
                <w:sz w:val="24"/>
                <w:szCs w:val="24"/>
              </w:rPr>
              <w:t>Департамент молодежной политики, гражданских инициатив и внешних связей Ханты-Мансийского автономного округа – Югры</w:t>
            </w:r>
          </w:p>
        </w:tc>
      </w:tr>
    </w:tbl>
    <w:p w:rsidR="00C43635" w:rsidRDefault="00C43635">
      <w:pPr>
        <w:pStyle w:val="af4"/>
        <w:spacing w:before="0" w:beforeAutospacing="0" w:after="0" w:afterAutospacing="0"/>
        <w:rPr>
          <w:sz w:val="18"/>
          <w:szCs w:val="18"/>
        </w:rPr>
      </w:pPr>
    </w:p>
    <w:p w:rsidR="00C43635" w:rsidRDefault="00C43635">
      <w:pPr>
        <w:pStyle w:val="af4"/>
        <w:spacing w:before="0" w:beforeAutospacing="0" w:after="0" w:afterAutospacing="0"/>
        <w:rPr>
          <w:sz w:val="18"/>
          <w:szCs w:val="18"/>
        </w:rPr>
      </w:pPr>
    </w:p>
    <w:p w:rsidR="00C43635" w:rsidRDefault="003B2D29">
      <w:pPr>
        <w:pStyle w:val="af4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Примечание:</w:t>
      </w:r>
    </w:p>
    <w:p w:rsidR="00C43635" w:rsidRDefault="003B2D29">
      <w:pPr>
        <w:pStyle w:val="af4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План заседаний рабочей группы составлен в соответствии с поступившими предложениями членов рабочей группы.</w:t>
      </w:r>
    </w:p>
    <w:p w:rsidR="00C43635" w:rsidRDefault="003B2D29">
      <w:pPr>
        <w:pStyle w:val="af4"/>
        <w:spacing w:before="0" w:beforeAutospacing="0" w:after="0" w:afterAutospacing="0"/>
        <w:jc w:val="both"/>
      </w:pPr>
      <w:r>
        <w:rPr>
          <w:sz w:val="18"/>
          <w:szCs w:val="18"/>
        </w:rPr>
        <w:t>План подлежит корректировке в случае изменения законодательства по реализации государственной политики в отношении российского казачества, а также в случае поступления дополнительных предложений от территориальных органов федеральных органов исполнительной</w:t>
      </w:r>
      <w:r>
        <w:rPr>
          <w:sz w:val="18"/>
          <w:szCs w:val="18"/>
        </w:rPr>
        <w:t xml:space="preserve"> власти, исполнительных органов государственной власти, членов рабочей группы при Губернаторе Ханты-Мансийского автономного округа – Югры по делам казачества.</w:t>
      </w:r>
    </w:p>
    <w:sectPr w:rsidR="00C43635">
      <w:headerReference w:type="default" r:id="rId9"/>
      <w:pgSz w:w="16838" w:h="11906" w:orient="landscape"/>
      <w:pgMar w:top="709" w:right="1276" w:bottom="851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D29" w:rsidRDefault="003B2D29">
      <w:r>
        <w:separator/>
      </w:r>
    </w:p>
  </w:endnote>
  <w:endnote w:type="continuationSeparator" w:id="0">
    <w:p w:rsidR="003B2D29" w:rsidRDefault="003B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D29" w:rsidRDefault="003B2D29">
      <w:r>
        <w:separator/>
      </w:r>
    </w:p>
  </w:footnote>
  <w:footnote w:type="continuationSeparator" w:id="0">
    <w:p w:rsidR="003B2D29" w:rsidRDefault="003B2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553356"/>
      <w:docPartObj>
        <w:docPartGallery w:val="Page Numbers (Top of Page)"/>
        <w:docPartUnique/>
      </w:docPartObj>
    </w:sdtPr>
    <w:sdtEndPr/>
    <w:sdtContent>
      <w:p w:rsidR="00C43635" w:rsidRDefault="003B2D29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08A">
          <w:rPr>
            <w:noProof/>
          </w:rPr>
          <w:t>2</w:t>
        </w:r>
        <w:r>
          <w:fldChar w:fldCharType="end"/>
        </w:r>
      </w:p>
    </w:sdtContent>
  </w:sdt>
  <w:p w:rsidR="00C43635" w:rsidRDefault="00C43635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207E7"/>
    <w:multiLevelType w:val="hybridMultilevel"/>
    <w:tmpl w:val="B7943AE2"/>
    <w:lvl w:ilvl="0" w:tplc="6D0AB7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9CA7A44">
      <w:start w:val="1"/>
      <w:numFmt w:val="lowerLetter"/>
      <w:lvlText w:val="%2."/>
      <w:lvlJc w:val="left"/>
      <w:pPr>
        <w:ind w:left="1440" w:hanging="360"/>
      </w:pPr>
    </w:lvl>
    <w:lvl w:ilvl="2" w:tplc="06C61E28">
      <w:start w:val="1"/>
      <w:numFmt w:val="lowerRoman"/>
      <w:lvlText w:val="%3."/>
      <w:lvlJc w:val="right"/>
      <w:pPr>
        <w:ind w:left="2160" w:hanging="180"/>
      </w:pPr>
    </w:lvl>
    <w:lvl w:ilvl="3" w:tplc="4992B5A4">
      <w:start w:val="1"/>
      <w:numFmt w:val="decimal"/>
      <w:lvlText w:val="%4."/>
      <w:lvlJc w:val="left"/>
      <w:pPr>
        <w:ind w:left="2880" w:hanging="360"/>
      </w:pPr>
    </w:lvl>
    <w:lvl w:ilvl="4" w:tplc="C4EE504E">
      <w:start w:val="1"/>
      <w:numFmt w:val="lowerLetter"/>
      <w:lvlText w:val="%5."/>
      <w:lvlJc w:val="left"/>
      <w:pPr>
        <w:ind w:left="3600" w:hanging="360"/>
      </w:pPr>
    </w:lvl>
    <w:lvl w:ilvl="5" w:tplc="1CA0A488">
      <w:start w:val="1"/>
      <w:numFmt w:val="lowerRoman"/>
      <w:lvlText w:val="%6."/>
      <w:lvlJc w:val="right"/>
      <w:pPr>
        <w:ind w:left="4320" w:hanging="180"/>
      </w:pPr>
    </w:lvl>
    <w:lvl w:ilvl="6" w:tplc="90DCC0DA">
      <w:start w:val="1"/>
      <w:numFmt w:val="decimal"/>
      <w:lvlText w:val="%7."/>
      <w:lvlJc w:val="left"/>
      <w:pPr>
        <w:ind w:left="5040" w:hanging="360"/>
      </w:pPr>
    </w:lvl>
    <w:lvl w:ilvl="7" w:tplc="16144278">
      <w:start w:val="1"/>
      <w:numFmt w:val="lowerLetter"/>
      <w:lvlText w:val="%8."/>
      <w:lvlJc w:val="left"/>
      <w:pPr>
        <w:ind w:left="5760" w:hanging="360"/>
      </w:pPr>
    </w:lvl>
    <w:lvl w:ilvl="8" w:tplc="595A238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B1F4E"/>
    <w:multiLevelType w:val="hybridMultilevel"/>
    <w:tmpl w:val="3B1CFD90"/>
    <w:lvl w:ilvl="0" w:tplc="238C03C2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  <w:sz w:val="28"/>
        <w:szCs w:val="28"/>
      </w:rPr>
    </w:lvl>
    <w:lvl w:ilvl="1" w:tplc="74D46F2A">
      <w:start w:val="1"/>
      <w:numFmt w:val="lowerLetter"/>
      <w:lvlText w:val="%2."/>
      <w:lvlJc w:val="left"/>
      <w:pPr>
        <w:ind w:left="1789" w:hanging="360"/>
      </w:pPr>
    </w:lvl>
    <w:lvl w:ilvl="2" w:tplc="0C5A404A">
      <w:start w:val="1"/>
      <w:numFmt w:val="lowerRoman"/>
      <w:lvlText w:val="%3."/>
      <w:lvlJc w:val="right"/>
      <w:pPr>
        <w:ind w:left="2509" w:hanging="180"/>
      </w:pPr>
    </w:lvl>
    <w:lvl w:ilvl="3" w:tplc="A34E94C0">
      <w:start w:val="1"/>
      <w:numFmt w:val="decimal"/>
      <w:lvlText w:val="%4."/>
      <w:lvlJc w:val="left"/>
      <w:pPr>
        <w:ind w:left="3229" w:hanging="360"/>
      </w:pPr>
    </w:lvl>
    <w:lvl w:ilvl="4" w:tplc="33B401C4">
      <w:start w:val="1"/>
      <w:numFmt w:val="lowerLetter"/>
      <w:lvlText w:val="%5."/>
      <w:lvlJc w:val="left"/>
      <w:pPr>
        <w:ind w:left="3949" w:hanging="360"/>
      </w:pPr>
    </w:lvl>
    <w:lvl w:ilvl="5" w:tplc="2304BA80">
      <w:start w:val="1"/>
      <w:numFmt w:val="lowerRoman"/>
      <w:lvlText w:val="%6."/>
      <w:lvlJc w:val="right"/>
      <w:pPr>
        <w:ind w:left="4669" w:hanging="180"/>
      </w:pPr>
    </w:lvl>
    <w:lvl w:ilvl="6" w:tplc="4C06DC34">
      <w:start w:val="1"/>
      <w:numFmt w:val="decimal"/>
      <w:lvlText w:val="%7."/>
      <w:lvlJc w:val="left"/>
      <w:pPr>
        <w:ind w:left="5389" w:hanging="360"/>
      </w:pPr>
    </w:lvl>
    <w:lvl w:ilvl="7" w:tplc="40322D02">
      <w:start w:val="1"/>
      <w:numFmt w:val="lowerLetter"/>
      <w:lvlText w:val="%8."/>
      <w:lvlJc w:val="left"/>
      <w:pPr>
        <w:ind w:left="6109" w:hanging="360"/>
      </w:pPr>
    </w:lvl>
    <w:lvl w:ilvl="8" w:tplc="14566BBE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35"/>
    <w:rsid w:val="003B2D29"/>
    <w:rsid w:val="005F408A"/>
    <w:rsid w:val="00C4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styleId="af4">
    <w:name w:val="Normal (Web)"/>
    <w:basedOn w:val="a"/>
    <w:uiPriority w:val="99"/>
    <w:unhideWhenUsed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table" w:styleId="af6">
    <w:name w:val="Table Grid"/>
    <w:basedOn w:val="a1"/>
    <w:uiPriority w:val="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character" w:styleId="af9">
    <w:name w:val="Strong"/>
    <w:basedOn w:val="a0"/>
    <w:uiPriority w:val="22"/>
    <w:qFormat/>
    <w:rPr>
      <w:b/>
      <w:bCs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Theme="minorEastAsia" w:hAnsi="Times New Roman"/>
      <w:sz w:val="28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Theme="minorEastAsia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styleId="af4">
    <w:name w:val="Normal (Web)"/>
    <w:basedOn w:val="a"/>
    <w:uiPriority w:val="99"/>
    <w:unhideWhenUsed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table" w:styleId="af6">
    <w:name w:val="Table Grid"/>
    <w:basedOn w:val="a1"/>
    <w:uiPriority w:val="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character" w:styleId="af9">
    <w:name w:val="Strong"/>
    <w:basedOn w:val="a0"/>
    <w:uiPriority w:val="22"/>
    <w:qFormat/>
    <w:rPr>
      <w:b/>
      <w:bCs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Theme="minorEastAsia" w:hAnsi="Times New Roman"/>
      <w:sz w:val="28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1A0D5-D81A-45BA-A39B-0621AFFF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OrlovIK</dc:creator>
  <cp:lastModifiedBy>Кириллова Ксения Игоревна</cp:lastModifiedBy>
  <cp:revision>2</cp:revision>
  <dcterms:created xsi:type="dcterms:W3CDTF">2024-02-14T05:35:00Z</dcterms:created>
  <dcterms:modified xsi:type="dcterms:W3CDTF">2024-02-14T05:35:00Z</dcterms:modified>
</cp:coreProperties>
</file>